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284" w:rsidRDefault="002C1360" w:rsidP="00994284">
      <w:pPr>
        <w:pStyle w:val="Rubrik5"/>
        <w:ind w:left="0"/>
        <w:jc w:val="left"/>
      </w:pPr>
      <w:r>
        <w:tab/>
      </w:r>
    </w:p>
    <w:p w:rsidR="00630E35" w:rsidRDefault="00250DE7" w:rsidP="00046B6C">
      <w:pPr>
        <w:pStyle w:val="Rubrik5"/>
        <w:jc w:val="left"/>
      </w:pPr>
      <w:r>
        <w:t>Kompletterande s</w:t>
      </w:r>
      <w:r w:rsidR="005E2606">
        <w:t xml:space="preserve">eglingsföreskrifter </w:t>
      </w:r>
      <w:r w:rsidR="00816E94">
        <w:t xml:space="preserve">Ekolnregattan </w:t>
      </w:r>
    </w:p>
    <w:p w:rsidR="00C619E6" w:rsidRDefault="005E2606" w:rsidP="00046B6C">
      <w:pPr>
        <w:pStyle w:val="Rubrik5"/>
        <w:jc w:val="left"/>
      </w:pPr>
      <w:r>
        <w:t>Neptunkryssare</w:t>
      </w:r>
      <w:r w:rsidR="00816E94">
        <w:t xml:space="preserve"> </w:t>
      </w:r>
      <w:r w:rsidR="00C619E6">
        <w:t xml:space="preserve">14-15 </w:t>
      </w:r>
      <w:proofErr w:type="spellStart"/>
      <w:r w:rsidR="00C619E6">
        <w:t>sept</w:t>
      </w:r>
      <w:proofErr w:type="spellEnd"/>
      <w:r w:rsidR="00C619E6">
        <w:t xml:space="preserve"> 2024</w:t>
      </w:r>
    </w:p>
    <w:p w:rsidR="00994284" w:rsidRPr="00046B6C" w:rsidRDefault="00816E94" w:rsidP="00046B6C">
      <w:pPr>
        <w:pStyle w:val="Rubrik5"/>
        <w:jc w:val="left"/>
      </w:pPr>
      <w:r>
        <w:br/>
      </w:r>
    </w:p>
    <w:p w:rsidR="005E2606" w:rsidRDefault="00994284" w:rsidP="00994284">
      <w:pPr>
        <w:pStyle w:val="Rubrik5"/>
        <w:jc w:val="left"/>
        <w:rPr>
          <w:b w:val="0"/>
        </w:rPr>
      </w:pPr>
      <w:r>
        <w:rPr>
          <w:b w:val="0"/>
        </w:rPr>
        <w:t xml:space="preserve">Arrangör: </w:t>
      </w:r>
      <w:r w:rsidR="00816E94">
        <w:rPr>
          <w:b w:val="0"/>
        </w:rPr>
        <w:t xml:space="preserve">Ekolns Segelklubb </w:t>
      </w:r>
    </w:p>
    <w:p w:rsidR="00046B6C" w:rsidRPr="00046B6C" w:rsidRDefault="00046B6C" w:rsidP="00046B6C"/>
    <w:p w:rsidR="007F50C1" w:rsidRDefault="007F50C1">
      <w:pPr>
        <w:rPr>
          <w:sz w:val="24"/>
        </w:rPr>
      </w:pPr>
    </w:p>
    <w:p w:rsidR="007F50C1" w:rsidRDefault="00250DE7">
      <w:pPr>
        <w:rPr>
          <w:sz w:val="24"/>
        </w:rPr>
      </w:pPr>
      <w:r>
        <w:rPr>
          <w:b/>
          <w:sz w:val="28"/>
        </w:rPr>
        <w:t>1</w:t>
      </w:r>
      <w:r w:rsidR="007F50C1">
        <w:rPr>
          <w:b/>
          <w:sz w:val="28"/>
        </w:rPr>
        <w:t>.</w:t>
      </w:r>
      <w:r w:rsidR="007F50C1">
        <w:rPr>
          <w:b/>
          <w:sz w:val="28"/>
        </w:rPr>
        <w:tab/>
        <w:t>Tidsprogram</w:t>
      </w:r>
    </w:p>
    <w:p w:rsidR="007F50C1" w:rsidRDefault="007F50C1">
      <w:pPr>
        <w:rPr>
          <w:sz w:val="24"/>
        </w:rPr>
      </w:pPr>
    </w:p>
    <w:p w:rsidR="007F6D96" w:rsidRDefault="002C6315" w:rsidP="00F549AC">
      <w:pPr>
        <w:ind w:left="720"/>
        <w:rPr>
          <w:b/>
          <w:sz w:val="24"/>
        </w:rPr>
      </w:pPr>
      <w:r w:rsidRPr="008A47B2">
        <w:rPr>
          <w:b/>
          <w:sz w:val="24"/>
        </w:rPr>
        <w:t xml:space="preserve">Program lördagen den </w:t>
      </w:r>
      <w:r w:rsidR="00160B47">
        <w:rPr>
          <w:b/>
          <w:sz w:val="24"/>
        </w:rPr>
        <w:t xml:space="preserve">14:e </w:t>
      </w:r>
      <w:proofErr w:type="spellStart"/>
      <w:r w:rsidR="00C619E6">
        <w:rPr>
          <w:b/>
          <w:sz w:val="24"/>
        </w:rPr>
        <w:t>sept</w:t>
      </w:r>
      <w:proofErr w:type="spellEnd"/>
    </w:p>
    <w:p w:rsidR="002C6315" w:rsidRDefault="007F6D96" w:rsidP="00630E35">
      <w:pPr>
        <w:ind w:left="720"/>
        <w:rPr>
          <w:sz w:val="24"/>
        </w:rPr>
      </w:pPr>
      <w:r w:rsidRPr="007F6D96">
        <w:rPr>
          <w:sz w:val="24"/>
        </w:rPr>
        <w:t>08.00-09.00</w:t>
      </w:r>
      <w:r w:rsidR="00630E35">
        <w:rPr>
          <w:sz w:val="24"/>
        </w:rPr>
        <w:t xml:space="preserve"> </w:t>
      </w:r>
      <w:r>
        <w:rPr>
          <w:sz w:val="24"/>
        </w:rPr>
        <w:t>Registrering i ESK:s Klubbhus.</w:t>
      </w:r>
    </w:p>
    <w:p w:rsidR="00630E35" w:rsidRDefault="00630E35" w:rsidP="00F549AC">
      <w:pPr>
        <w:ind w:left="720"/>
        <w:rPr>
          <w:sz w:val="24"/>
        </w:rPr>
      </w:pPr>
      <w:r>
        <w:rPr>
          <w:sz w:val="24"/>
        </w:rPr>
        <w:t xml:space="preserve">09.15 Skepparmöte </w:t>
      </w:r>
    </w:p>
    <w:p w:rsidR="002C6315" w:rsidRPr="00470D28" w:rsidRDefault="00630E35" w:rsidP="002C6315">
      <w:pPr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 w:rsidR="002C6315" w:rsidRPr="008A47B2">
        <w:rPr>
          <w:sz w:val="24"/>
        </w:rPr>
        <w:t>10.</w:t>
      </w:r>
      <w:r w:rsidR="002C6315">
        <w:rPr>
          <w:sz w:val="24"/>
        </w:rPr>
        <w:t>30</w:t>
      </w:r>
      <w:r w:rsidR="002C6315" w:rsidRPr="008A47B2">
        <w:rPr>
          <w:sz w:val="24"/>
        </w:rPr>
        <w:t xml:space="preserve"> Tid för första varningssignal:</w:t>
      </w:r>
      <w:r w:rsidR="002C6315">
        <w:rPr>
          <w:sz w:val="24"/>
        </w:rPr>
        <w:br/>
      </w:r>
      <w:r w:rsidR="002C6315" w:rsidRPr="008A47B2">
        <w:rPr>
          <w:sz w:val="24"/>
        </w:rPr>
        <w:tab/>
      </w:r>
      <w:r w:rsidR="007F6D96">
        <w:rPr>
          <w:sz w:val="24"/>
        </w:rPr>
        <w:t>Tre</w:t>
      </w:r>
      <w:r w:rsidR="002C6315" w:rsidRPr="000D3323">
        <w:rPr>
          <w:sz w:val="24"/>
        </w:rPr>
        <w:t xml:space="preserve"> kappseglingar är planerade</w:t>
      </w:r>
      <w:r w:rsidR="002C6315" w:rsidRPr="008A47B2">
        <w:rPr>
          <w:sz w:val="24"/>
        </w:rPr>
        <w:br/>
      </w:r>
    </w:p>
    <w:p w:rsidR="002C6315" w:rsidRPr="008A47B2" w:rsidRDefault="002C6315" w:rsidP="002C6315">
      <w:pPr>
        <w:ind w:left="702"/>
        <w:rPr>
          <w:sz w:val="24"/>
        </w:rPr>
      </w:pPr>
      <w:r w:rsidRPr="008A47B2">
        <w:rPr>
          <w:b/>
          <w:sz w:val="24"/>
        </w:rPr>
        <w:t xml:space="preserve">Program söndagen den </w:t>
      </w:r>
      <w:r w:rsidR="00C619E6">
        <w:rPr>
          <w:b/>
          <w:sz w:val="24"/>
        </w:rPr>
        <w:t xml:space="preserve">15:e </w:t>
      </w:r>
      <w:proofErr w:type="spellStart"/>
      <w:r w:rsidR="00C619E6">
        <w:rPr>
          <w:b/>
          <w:sz w:val="24"/>
        </w:rPr>
        <w:t>sept</w:t>
      </w:r>
      <w:proofErr w:type="spellEnd"/>
      <w:r w:rsidRPr="008A47B2">
        <w:rPr>
          <w:sz w:val="24"/>
        </w:rPr>
        <w:t xml:space="preserve"> </w:t>
      </w:r>
    </w:p>
    <w:p w:rsidR="002C6315" w:rsidRPr="008A47B2" w:rsidRDefault="00102781" w:rsidP="002C6315">
      <w:pPr>
        <w:ind w:firstLine="702"/>
        <w:rPr>
          <w:sz w:val="24"/>
        </w:rPr>
      </w:pPr>
      <w:r>
        <w:rPr>
          <w:sz w:val="24"/>
        </w:rPr>
        <w:t>1</w:t>
      </w:r>
      <w:r w:rsidR="00630E35">
        <w:rPr>
          <w:sz w:val="24"/>
        </w:rPr>
        <w:t>0</w:t>
      </w:r>
      <w:r w:rsidR="002C6315" w:rsidRPr="008A47B2">
        <w:rPr>
          <w:sz w:val="24"/>
        </w:rPr>
        <w:t>.</w:t>
      </w:r>
      <w:r w:rsidR="00630E35">
        <w:rPr>
          <w:sz w:val="24"/>
        </w:rPr>
        <w:t>3</w:t>
      </w:r>
      <w:r>
        <w:rPr>
          <w:sz w:val="24"/>
        </w:rPr>
        <w:t>0</w:t>
      </w:r>
      <w:r w:rsidR="002C6315" w:rsidRPr="008A47B2">
        <w:rPr>
          <w:sz w:val="24"/>
        </w:rPr>
        <w:t xml:space="preserve"> Tid för första varningssignal:</w:t>
      </w:r>
    </w:p>
    <w:p w:rsidR="002C6315" w:rsidRDefault="00F54A25" w:rsidP="002C6315">
      <w:pPr>
        <w:ind w:left="702"/>
        <w:rPr>
          <w:sz w:val="24"/>
        </w:rPr>
      </w:pPr>
      <w:r>
        <w:rPr>
          <w:sz w:val="24"/>
        </w:rPr>
        <w:t>Två kappseglingar är planerade.</w:t>
      </w:r>
      <w:r w:rsidR="002C6315" w:rsidRPr="008A47B2">
        <w:rPr>
          <w:sz w:val="24"/>
        </w:rPr>
        <w:t xml:space="preserve"> </w:t>
      </w:r>
      <w:r w:rsidR="002C6315" w:rsidRPr="008A47B2">
        <w:rPr>
          <w:sz w:val="24"/>
        </w:rPr>
        <w:tab/>
      </w:r>
    </w:p>
    <w:p w:rsidR="002C6315" w:rsidRPr="008A47B2" w:rsidRDefault="002C6315" w:rsidP="002C6315">
      <w:pPr>
        <w:ind w:left="702"/>
        <w:rPr>
          <w:sz w:val="24"/>
        </w:rPr>
      </w:pPr>
      <w:r w:rsidRPr="008A47B2">
        <w:rPr>
          <w:sz w:val="24"/>
        </w:rPr>
        <w:t>Prisutdelning: snarast efter att resultatlista finns efter ev. protester är klara.</w:t>
      </w:r>
    </w:p>
    <w:p w:rsidR="003406CB" w:rsidRDefault="003406CB" w:rsidP="004211BD">
      <w:pPr>
        <w:ind w:left="709"/>
        <w:rPr>
          <w:sz w:val="24"/>
        </w:rPr>
      </w:pPr>
    </w:p>
    <w:p w:rsidR="003406CB" w:rsidRDefault="003406CB" w:rsidP="003406CB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 </w:t>
      </w:r>
      <w:r>
        <w:rPr>
          <w:b/>
          <w:bCs/>
          <w:sz w:val="28"/>
          <w:szCs w:val="28"/>
        </w:rPr>
        <w:tab/>
        <w:t>Tävlingsexpeditionen och signalmastens placering.</w:t>
      </w:r>
    </w:p>
    <w:p w:rsidR="003406CB" w:rsidRDefault="003406CB" w:rsidP="003406CB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3406CB" w:rsidRDefault="003406CB" w:rsidP="003406C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2.1 </w:t>
      </w:r>
      <w:r>
        <w:rPr>
          <w:sz w:val="24"/>
          <w:szCs w:val="24"/>
        </w:rPr>
        <w:tab/>
        <w:t xml:space="preserve">Tävlingsexpeditionen är placerad i </w:t>
      </w:r>
      <w:r w:rsidR="00F549AC">
        <w:rPr>
          <w:sz w:val="24"/>
          <w:szCs w:val="24"/>
        </w:rPr>
        <w:t>ESKs</w:t>
      </w:r>
      <w:r>
        <w:rPr>
          <w:sz w:val="24"/>
          <w:szCs w:val="24"/>
        </w:rPr>
        <w:t xml:space="preserve"> klubbhus</w:t>
      </w:r>
      <w:r w:rsidR="007A47DA">
        <w:rPr>
          <w:sz w:val="24"/>
          <w:szCs w:val="24"/>
        </w:rPr>
        <w:t>.</w:t>
      </w:r>
    </w:p>
    <w:p w:rsidR="003406CB" w:rsidRDefault="003406CB" w:rsidP="003406CB">
      <w:pPr>
        <w:autoSpaceDE w:val="0"/>
        <w:autoSpaceDN w:val="0"/>
        <w:adjustRightInd w:val="0"/>
        <w:rPr>
          <w:sz w:val="24"/>
          <w:szCs w:val="24"/>
        </w:rPr>
      </w:pPr>
    </w:p>
    <w:p w:rsidR="003406CB" w:rsidRPr="00593E2F" w:rsidRDefault="003406CB" w:rsidP="00593E2F">
      <w:pPr>
        <w:autoSpaceDE w:val="0"/>
        <w:autoSpaceDN w:val="0"/>
        <w:adjustRightInd w:val="0"/>
        <w:ind w:left="720" w:hanging="720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2.2 </w:t>
      </w:r>
      <w:r>
        <w:rPr>
          <w:sz w:val="24"/>
          <w:szCs w:val="24"/>
        </w:rPr>
        <w:tab/>
        <w:t xml:space="preserve">Signaler i land kommer att visas på signalmasten som är </w:t>
      </w:r>
      <w:r w:rsidR="007A47DA" w:rsidRPr="00921A1D">
        <w:rPr>
          <w:sz w:val="24"/>
          <w:szCs w:val="24"/>
        </w:rPr>
        <w:t>en flaggstång</w:t>
      </w:r>
      <w:r w:rsidR="00593E2F" w:rsidRPr="00921A1D">
        <w:rPr>
          <w:sz w:val="24"/>
          <w:szCs w:val="24"/>
        </w:rPr>
        <w:t xml:space="preserve"> på bryggnocken vid ESK</w:t>
      </w:r>
    </w:p>
    <w:p w:rsidR="003406CB" w:rsidRDefault="003406CB" w:rsidP="003406CB">
      <w:pPr>
        <w:ind w:firstLine="720"/>
        <w:rPr>
          <w:sz w:val="24"/>
          <w:szCs w:val="24"/>
        </w:rPr>
      </w:pPr>
    </w:p>
    <w:p w:rsidR="003406CB" w:rsidRDefault="003406CB" w:rsidP="003406CB">
      <w:pPr>
        <w:rPr>
          <w:b/>
          <w:sz w:val="28"/>
        </w:rPr>
      </w:pPr>
      <w:r>
        <w:rPr>
          <w:b/>
          <w:sz w:val="28"/>
        </w:rPr>
        <w:t>3</w:t>
      </w:r>
      <w:r>
        <w:rPr>
          <w:b/>
          <w:sz w:val="28"/>
        </w:rPr>
        <w:tab/>
        <w:t>Märken</w:t>
      </w:r>
    </w:p>
    <w:p w:rsidR="003406CB" w:rsidRDefault="003406CB" w:rsidP="003406CB">
      <w:pPr>
        <w:rPr>
          <w:sz w:val="24"/>
        </w:rPr>
      </w:pPr>
    </w:p>
    <w:p w:rsidR="00EE3FD2" w:rsidRDefault="003406CB" w:rsidP="00EE3FD2">
      <w:pPr>
        <w:ind w:left="702" w:hanging="702"/>
        <w:rPr>
          <w:sz w:val="24"/>
          <w:szCs w:val="24"/>
          <w:shd w:val="clear" w:color="000000" w:fill="FFFFFF"/>
        </w:rPr>
      </w:pPr>
      <w:r>
        <w:rPr>
          <w:sz w:val="24"/>
        </w:rPr>
        <w:t>3.1</w:t>
      </w:r>
      <w:r>
        <w:rPr>
          <w:sz w:val="24"/>
        </w:rPr>
        <w:tab/>
        <w:t xml:space="preserve">Rundningsmärkena </w:t>
      </w:r>
      <w:r w:rsidR="00921A1D" w:rsidRPr="00921A1D">
        <w:rPr>
          <w:sz w:val="24"/>
        </w:rPr>
        <w:t>är orange tetror</w:t>
      </w:r>
      <w:r w:rsidRPr="00921A1D">
        <w:rPr>
          <w:sz w:val="24"/>
        </w:rPr>
        <w:t>.</w:t>
      </w:r>
      <w:r w:rsidR="00EE3FD2">
        <w:rPr>
          <w:sz w:val="24"/>
        </w:rPr>
        <w:t xml:space="preserve"> </w:t>
      </w:r>
      <w:r w:rsidR="00EE3FD2">
        <w:rPr>
          <w:sz w:val="24"/>
        </w:rPr>
        <w:br/>
      </w:r>
      <w:r w:rsidR="00EE3FD2" w:rsidRPr="00F03B3E">
        <w:rPr>
          <w:sz w:val="24"/>
          <w:szCs w:val="24"/>
          <w:shd w:val="clear" w:color="000000" w:fill="FFFFFF"/>
        </w:rPr>
        <w:t xml:space="preserve">Startlinjen är mellan </w:t>
      </w:r>
      <w:r w:rsidR="00E562B8">
        <w:rPr>
          <w:sz w:val="24"/>
          <w:szCs w:val="24"/>
          <w:shd w:val="clear" w:color="000000" w:fill="FFFFFF"/>
        </w:rPr>
        <w:t>masten</w:t>
      </w:r>
      <w:r w:rsidR="00EE3FD2" w:rsidRPr="00F03B3E">
        <w:rPr>
          <w:sz w:val="24"/>
          <w:szCs w:val="24"/>
          <w:shd w:val="clear" w:color="000000" w:fill="FFFFFF"/>
        </w:rPr>
        <w:t xml:space="preserve"> med en orange flagga på startfartyget</w:t>
      </w:r>
      <w:r w:rsidR="00EE3FD2">
        <w:rPr>
          <w:sz w:val="24"/>
          <w:szCs w:val="24"/>
          <w:shd w:val="clear" w:color="000000" w:fill="FFFFFF"/>
        </w:rPr>
        <w:t xml:space="preserve"> och en stång med orange flagga på en flaggprick.</w:t>
      </w:r>
      <w:r w:rsidR="00E562B8">
        <w:rPr>
          <w:sz w:val="24"/>
          <w:szCs w:val="24"/>
          <w:shd w:val="clear" w:color="000000" w:fill="FFFFFF"/>
        </w:rPr>
        <w:t xml:space="preserve"> Mållinjen är mellan masten med en blå flagga och en boj </w:t>
      </w:r>
      <w:r w:rsidR="00A62CEF">
        <w:rPr>
          <w:sz w:val="24"/>
          <w:szCs w:val="24"/>
          <w:shd w:val="clear" w:color="000000" w:fill="FFFFFF"/>
        </w:rPr>
        <w:t>med orange</w:t>
      </w:r>
      <w:r w:rsidR="00E562B8">
        <w:rPr>
          <w:sz w:val="24"/>
          <w:szCs w:val="24"/>
          <w:shd w:val="clear" w:color="000000" w:fill="FFFFFF"/>
        </w:rPr>
        <w:t xml:space="preserve"> flagga.</w:t>
      </w:r>
    </w:p>
    <w:p w:rsidR="003406CB" w:rsidRDefault="003406CB" w:rsidP="00A54601">
      <w:pPr>
        <w:ind w:left="702" w:hanging="702"/>
        <w:rPr>
          <w:sz w:val="24"/>
        </w:rPr>
      </w:pPr>
      <w:r>
        <w:rPr>
          <w:sz w:val="24"/>
        </w:rPr>
        <w:t xml:space="preserve"> </w:t>
      </w:r>
    </w:p>
    <w:p w:rsidR="000D0975" w:rsidRPr="000261F0" w:rsidRDefault="003406CB" w:rsidP="000261F0">
      <w:pPr>
        <w:ind w:left="702" w:hanging="702"/>
        <w:rPr>
          <w:sz w:val="24"/>
        </w:rPr>
      </w:pPr>
      <w:r>
        <w:rPr>
          <w:sz w:val="24"/>
        </w:rPr>
        <w:t>3.2</w:t>
      </w:r>
      <w:r>
        <w:rPr>
          <w:sz w:val="24"/>
        </w:rPr>
        <w:tab/>
        <w:t xml:space="preserve">Nya märken som används vid banändring enligt KSR 33 är </w:t>
      </w:r>
      <w:r w:rsidR="00921A1D" w:rsidRPr="00921A1D">
        <w:rPr>
          <w:sz w:val="24"/>
        </w:rPr>
        <w:t>gula tetror</w:t>
      </w:r>
      <w:r w:rsidRPr="00921A1D">
        <w:rPr>
          <w:sz w:val="24"/>
        </w:rPr>
        <w:t>.</w:t>
      </w:r>
      <w:r>
        <w:rPr>
          <w:sz w:val="24"/>
        </w:rPr>
        <w:t xml:space="preserve"> När ett </w:t>
      </w:r>
      <w:proofErr w:type="spellStart"/>
      <w:r>
        <w:rPr>
          <w:sz w:val="24"/>
        </w:rPr>
        <w:t>nyutlagt</w:t>
      </w:r>
      <w:proofErr w:type="spellEnd"/>
      <w:r>
        <w:rPr>
          <w:sz w:val="24"/>
        </w:rPr>
        <w:t xml:space="preserve"> märke byts ut vid en ytterligare ändring ersätts det med det ursprungliga märket.</w:t>
      </w:r>
    </w:p>
    <w:p w:rsidR="0078012F" w:rsidRDefault="0078012F" w:rsidP="0078012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8012F" w:rsidRDefault="0078012F" w:rsidP="0078012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 </w:t>
      </w:r>
      <w:r>
        <w:rPr>
          <w:b/>
          <w:bCs/>
          <w:sz w:val="28"/>
          <w:szCs w:val="28"/>
        </w:rPr>
        <w:tab/>
        <w:t>Tidsbegränsning</w:t>
      </w:r>
    </w:p>
    <w:p w:rsidR="0018161E" w:rsidRDefault="0018161E" w:rsidP="0078012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8012F" w:rsidRDefault="0078012F" w:rsidP="0078012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4.1 </w:t>
      </w:r>
      <w:r>
        <w:rPr>
          <w:sz w:val="24"/>
          <w:szCs w:val="24"/>
        </w:rPr>
        <w:tab/>
        <w:t>Kappseglingens tidsbegränsning:</w:t>
      </w:r>
    </w:p>
    <w:p w:rsidR="0078012F" w:rsidRDefault="0078012F" w:rsidP="0078012F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Maximitiden för första båt</w:t>
      </w:r>
      <w:r w:rsidR="00F54A25">
        <w:rPr>
          <w:sz w:val="24"/>
          <w:szCs w:val="24"/>
        </w:rPr>
        <w:t>/klass</w:t>
      </w:r>
      <w:r>
        <w:rPr>
          <w:sz w:val="24"/>
          <w:szCs w:val="24"/>
        </w:rPr>
        <w:t xml:space="preserve"> i mål är 1</w:t>
      </w:r>
      <w:r w:rsidR="00912020">
        <w:rPr>
          <w:sz w:val="24"/>
          <w:szCs w:val="24"/>
        </w:rPr>
        <w:t>2</w:t>
      </w:r>
      <w:r>
        <w:rPr>
          <w:sz w:val="24"/>
          <w:szCs w:val="24"/>
        </w:rPr>
        <w:t>0 minuter.</w:t>
      </w:r>
    </w:p>
    <w:p w:rsidR="0018161E" w:rsidRDefault="0018161E" w:rsidP="0078012F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160AA0" w:rsidRPr="00061841" w:rsidRDefault="0078012F" w:rsidP="0018161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4.2</w:t>
      </w:r>
      <w:r>
        <w:rPr>
          <w:sz w:val="24"/>
          <w:szCs w:val="24"/>
        </w:rPr>
        <w:tab/>
        <w:t xml:space="preserve">Målgångsfönster: Målgångsfönstret är </w:t>
      </w:r>
      <w:r w:rsidR="00921A1D" w:rsidRPr="00921A1D">
        <w:rPr>
          <w:sz w:val="24"/>
          <w:szCs w:val="24"/>
        </w:rPr>
        <w:t>3</w:t>
      </w:r>
      <w:r w:rsidRPr="00921A1D">
        <w:rPr>
          <w:sz w:val="24"/>
          <w:szCs w:val="24"/>
        </w:rPr>
        <w:t>0 minuter.</w:t>
      </w:r>
    </w:p>
    <w:p w:rsidR="00160AA0" w:rsidRDefault="00160AA0" w:rsidP="0018161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8161E" w:rsidRDefault="0018161E" w:rsidP="0018161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ab/>
        <w:t xml:space="preserve"> Startsignaler</w:t>
      </w:r>
    </w:p>
    <w:p w:rsidR="00EE3FD2" w:rsidRDefault="00EE3FD2" w:rsidP="0018161E">
      <w:pPr>
        <w:autoSpaceDE w:val="0"/>
        <w:autoSpaceDN w:val="0"/>
        <w:adjustRightInd w:val="0"/>
        <w:ind w:firstLine="720"/>
        <w:rPr>
          <w:i/>
          <w:iCs/>
          <w:sz w:val="24"/>
          <w:szCs w:val="24"/>
        </w:rPr>
      </w:pPr>
    </w:p>
    <w:p w:rsidR="00EE3FD2" w:rsidRPr="00D879C1" w:rsidRDefault="00EE3FD2" w:rsidP="009C6DC4">
      <w:pPr>
        <w:ind w:left="702" w:right="-284"/>
        <w:rPr>
          <w:sz w:val="24"/>
        </w:rPr>
      </w:pPr>
      <w:r>
        <w:rPr>
          <w:sz w:val="24"/>
          <w:szCs w:val="24"/>
          <w:shd w:val="clear" w:color="000000" w:fill="FFFFFF"/>
        </w:rPr>
        <w:t xml:space="preserve">Detta ändrar KSR A4 och Appendix </w:t>
      </w:r>
      <w:r w:rsidR="00AE54AE">
        <w:rPr>
          <w:sz w:val="24"/>
          <w:szCs w:val="24"/>
          <w:shd w:val="clear" w:color="000000" w:fill="FFFFFF"/>
        </w:rPr>
        <w:t>S11.2</w:t>
      </w:r>
      <w:r>
        <w:rPr>
          <w:sz w:val="24"/>
        </w:rPr>
        <w:t xml:space="preserve">. </w:t>
      </w:r>
      <w:r w:rsidRPr="00C63A1B">
        <w:rPr>
          <w:color w:val="222222"/>
          <w:sz w:val="24"/>
          <w:szCs w:val="24"/>
        </w:rPr>
        <w:t xml:space="preserve">Med ändring av KSR 26 </w:t>
      </w:r>
      <w:r w:rsidR="00AE54AE">
        <w:rPr>
          <w:sz w:val="24"/>
          <w:szCs w:val="24"/>
        </w:rPr>
        <w:t xml:space="preserve">och </w:t>
      </w:r>
      <w:proofErr w:type="spellStart"/>
      <w:r w:rsidR="00AE54AE">
        <w:rPr>
          <w:sz w:val="24"/>
          <w:szCs w:val="24"/>
        </w:rPr>
        <w:t>App</w:t>
      </w:r>
      <w:proofErr w:type="spellEnd"/>
      <w:r w:rsidR="00160B47">
        <w:rPr>
          <w:sz w:val="24"/>
          <w:szCs w:val="24"/>
        </w:rPr>
        <w:t xml:space="preserve"> </w:t>
      </w:r>
      <w:r w:rsidR="00AE54AE">
        <w:rPr>
          <w:sz w:val="24"/>
          <w:szCs w:val="24"/>
        </w:rPr>
        <w:t xml:space="preserve">SF 9.1 </w:t>
      </w:r>
      <w:r w:rsidRPr="00C63A1B">
        <w:rPr>
          <w:color w:val="222222"/>
          <w:sz w:val="24"/>
          <w:szCs w:val="24"/>
        </w:rPr>
        <w:t>gäller följande startsignaler</w:t>
      </w:r>
      <w:r>
        <w:rPr>
          <w:color w:val="222222"/>
          <w:sz w:val="24"/>
          <w:szCs w:val="24"/>
        </w:rPr>
        <w:t xml:space="preserve">: </w:t>
      </w:r>
      <w:r>
        <w:rPr>
          <w:sz w:val="24"/>
        </w:rPr>
        <w:t xml:space="preserve">Strax före eller i samband med varningssignalen </w:t>
      </w:r>
      <w:r w:rsidRPr="00921A1D">
        <w:rPr>
          <w:sz w:val="24"/>
        </w:rPr>
        <w:t xml:space="preserve">visas </w:t>
      </w:r>
      <w:r w:rsidR="009C6DC4" w:rsidRPr="00921A1D">
        <w:rPr>
          <w:sz w:val="24"/>
        </w:rPr>
        <w:t>vilken klass</w:t>
      </w:r>
      <w:r w:rsidR="00D879C1" w:rsidRPr="00921A1D">
        <w:rPr>
          <w:sz w:val="24"/>
        </w:rPr>
        <w:t xml:space="preserve"> och</w:t>
      </w:r>
      <w:r w:rsidR="00D879C1">
        <w:rPr>
          <w:sz w:val="24"/>
        </w:rPr>
        <w:t xml:space="preserve"> eventuellt </w:t>
      </w:r>
      <w:r>
        <w:rPr>
          <w:sz w:val="24"/>
        </w:rPr>
        <w:t>vilken skärpt startregel (I, U eller Svart) som gäller</w:t>
      </w:r>
      <w:r w:rsidR="00D879C1">
        <w:rPr>
          <w:sz w:val="24"/>
        </w:rPr>
        <w:t xml:space="preserve">. </w:t>
      </w:r>
      <w:r>
        <w:rPr>
          <w:sz w:val="24"/>
        </w:rPr>
        <w:t>Dessa flaggor går ner efter start.</w:t>
      </w:r>
    </w:p>
    <w:p w:rsidR="00EE3FD2" w:rsidRDefault="00EE3FD2" w:rsidP="00EE3FD2">
      <w:pPr>
        <w:ind w:left="702" w:hanging="702"/>
        <w:rPr>
          <w:sz w:val="24"/>
        </w:rPr>
      </w:pPr>
    </w:p>
    <w:p w:rsidR="007F53BA" w:rsidRPr="00D7011B" w:rsidRDefault="007F53BA" w:rsidP="00EE3FD2">
      <w:pPr>
        <w:ind w:left="702" w:hanging="702"/>
        <w:rPr>
          <w:sz w:val="24"/>
        </w:rPr>
      </w:pPr>
    </w:p>
    <w:tbl>
      <w:tblPr>
        <w:tblW w:w="9007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5"/>
        <w:gridCol w:w="3305"/>
        <w:gridCol w:w="1102"/>
        <w:gridCol w:w="3025"/>
      </w:tblGrid>
      <w:tr w:rsidR="00160AA0" w:rsidTr="00061841">
        <w:trPr>
          <w:trHeight w:val="412"/>
        </w:trPr>
        <w:tc>
          <w:tcPr>
            <w:tcW w:w="1575" w:type="dxa"/>
            <w:vAlign w:val="center"/>
          </w:tcPr>
          <w:p w:rsidR="00160AA0" w:rsidRDefault="00160AA0" w:rsidP="00160AA0">
            <w:pPr>
              <w:pStyle w:val="TableParagraph"/>
              <w:spacing w:line="255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Min före start</w:t>
            </w:r>
          </w:p>
        </w:tc>
        <w:tc>
          <w:tcPr>
            <w:tcW w:w="3305" w:type="dxa"/>
            <w:vAlign w:val="center"/>
          </w:tcPr>
          <w:p w:rsidR="00160AA0" w:rsidRDefault="00160AA0" w:rsidP="00160AA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Flagga</w:t>
            </w:r>
          </w:p>
        </w:tc>
        <w:tc>
          <w:tcPr>
            <w:tcW w:w="1102" w:type="dxa"/>
            <w:vAlign w:val="center"/>
          </w:tcPr>
          <w:p w:rsidR="00160AA0" w:rsidRDefault="00160AA0" w:rsidP="00160AA0">
            <w:pPr>
              <w:pStyle w:val="TableParagraph"/>
              <w:spacing w:line="25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Ljud</w:t>
            </w:r>
          </w:p>
        </w:tc>
        <w:tc>
          <w:tcPr>
            <w:tcW w:w="3025" w:type="dxa"/>
            <w:vAlign w:val="center"/>
          </w:tcPr>
          <w:p w:rsidR="00160AA0" w:rsidRDefault="00160AA0" w:rsidP="00160AA0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Betydelse</w:t>
            </w:r>
          </w:p>
        </w:tc>
      </w:tr>
      <w:tr w:rsidR="00160AA0" w:rsidTr="00061841">
        <w:trPr>
          <w:trHeight w:val="412"/>
        </w:trPr>
        <w:tc>
          <w:tcPr>
            <w:tcW w:w="1575" w:type="dxa"/>
            <w:vAlign w:val="center"/>
          </w:tcPr>
          <w:p w:rsidR="00160AA0" w:rsidRDefault="00160AA0" w:rsidP="00160AA0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05" w:type="dxa"/>
            <w:vAlign w:val="center"/>
          </w:tcPr>
          <w:p w:rsidR="00160AA0" w:rsidRDefault="00160AA0" w:rsidP="00E562B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Sifferflagg</w:t>
            </w:r>
            <w:r w:rsidR="00E562B8">
              <w:rPr>
                <w:sz w:val="24"/>
              </w:rPr>
              <w:t>a</w:t>
            </w:r>
            <w:r>
              <w:rPr>
                <w:sz w:val="24"/>
              </w:rPr>
              <w:t xml:space="preserve"> 5</w:t>
            </w:r>
            <w:r w:rsidR="00E562B8">
              <w:rPr>
                <w:sz w:val="24"/>
              </w:rPr>
              <w:t xml:space="preserve"> </w:t>
            </w:r>
          </w:p>
        </w:tc>
        <w:tc>
          <w:tcPr>
            <w:tcW w:w="1102" w:type="dxa"/>
            <w:vAlign w:val="center"/>
          </w:tcPr>
          <w:p w:rsidR="00160AA0" w:rsidRDefault="00160AA0" w:rsidP="00160AA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5" w:type="dxa"/>
            <w:vAlign w:val="center"/>
          </w:tcPr>
          <w:p w:rsidR="00160AA0" w:rsidRDefault="002F2A19" w:rsidP="002F2A1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Varning</w:t>
            </w:r>
          </w:p>
        </w:tc>
      </w:tr>
      <w:tr w:rsidR="00160AA0" w:rsidTr="00061841">
        <w:trPr>
          <w:trHeight w:val="311"/>
        </w:trPr>
        <w:tc>
          <w:tcPr>
            <w:tcW w:w="1575" w:type="dxa"/>
            <w:vAlign w:val="center"/>
          </w:tcPr>
          <w:p w:rsidR="00160AA0" w:rsidRDefault="00160AA0" w:rsidP="00160AA0">
            <w:pPr>
              <w:pStyle w:val="TableParagraph"/>
              <w:spacing w:before="128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4</w:t>
            </w:r>
          </w:p>
        </w:tc>
        <w:tc>
          <w:tcPr>
            <w:tcW w:w="3305" w:type="dxa"/>
            <w:vAlign w:val="center"/>
          </w:tcPr>
          <w:p w:rsidR="00160AA0" w:rsidRDefault="00160AA0" w:rsidP="00E562B8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Sifferflagga </w:t>
            </w:r>
            <w:r w:rsidR="00E562B8">
              <w:rPr>
                <w:sz w:val="24"/>
              </w:rPr>
              <w:t>4</w:t>
            </w:r>
          </w:p>
        </w:tc>
        <w:tc>
          <w:tcPr>
            <w:tcW w:w="1102" w:type="dxa"/>
          </w:tcPr>
          <w:p w:rsidR="00160AA0" w:rsidRDefault="00160AA0" w:rsidP="00160AA0">
            <w:pPr>
              <w:pStyle w:val="TableParagraph"/>
              <w:spacing w:before="128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5" w:type="dxa"/>
            <w:vAlign w:val="center"/>
          </w:tcPr>
          <w:p w:rsidR="00160AA0" w:rsidRDefault="00160AA0" w:rsidP="002F2A19">
            <w:pPr>
              <w:pStyle w:val="TableParagraph"/>
              <w:spacing w:before="128"/>
              <w:ind w:left="109"/>
              <w:rPr>
                <w:sz w:val="24"/>
              </w:rPr>
            </w:pPr>
            <w:r>
              <w:rPr>
                <w:sz w:val="24"/>
              </w:rPr>
              <w:t>Förberedelse</w:t>
            </w:r>
          </w:p>
        </w:tc>
      </w:tr>
      <w:tr w:rsidR="00160AA0" w:rsidTr="00061841">
        <w:trPr>
          <w:trHeight w:val="322"/>
        </w:trPr>
        <w:tc>
          <w:tcPr>
            <w:tcW w:w="1575" w:type="dxa"/>
            <w:vAlign w:val="center"/>
          </w:tcPr>
          <w:p w:rsidR="00160AA0" w:rsidRDefault="00160AA0" w:rsidP="00160AA0">
            <w:pPr>
              <w:pStyle w:val="TableParagraph"/>
              <w:spacing w:before="130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05" w:type="dxa"/>
            <w:vAlign w:val="center"/>
          </w:tcPr>
          <w:p w:rsidR="00160AA0" w:rsidRDefault="00160AA0" w:rsidP="00E562B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Sifferflagga </w:t>
            </w:r>
            <w:r w:rsidR="00E562B8">
              <w:rPr>
                <w:sz w:val="24"/>
              </w:rPr>
              <w:t>3</w:t>
            </w:r>
          </w:p>
        </w:tc>
        <w:tc>
          <w:tcPr>
            <w:tcW w:w="1102" w:type="dxa"/>
            <w:vAlign w:val="center"/>
          </w:tcPr>
          <w:p w:rsidR="00160AA0" w:rsidRPr="00986AB6" w:rsidRDefault="00160AA0" w:rsidP="00160AA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86AB6">
              <w:rPr>
                <w:sz w:val="24"/>
                <w:szCs w:val="24"/>
              </w:rPr>
              <w:t>1</w:t>
            </w:r>
          </w:p>
        </w:tc>
        <w:tc>
          <w:tcPr>
            <w:tcW w:w="3025" w:type="dxa"/>
            <w:vAlign w:val="center"/>
          </w:tcPr>
          <w:p w:rsidR="00160AA0" w:rsidRPr="002F2A19" w:rsidRDefault="00160AA0" w:rsidP="00160AA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60AA0" w:rsidTr="00061841">
        <w:trPr>
          <w:trHeight w:val="412"/>
        </w:trPr>
        <w:tc>
          <w:tcPr>
            <w:tcW w:w="1575" w:type="dxa"/>
            <w:vAlign w:val="center"/>
          </w:tcPr>
          <w:p w:rsidR="00160AA0" w:rsidRDefault="00160AA0" w:rsidP="00160AA0">
            <w:pPr>
              <w:pStyle w:val="TableParagraph"/>
              <w:spacing w:before="130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5" w:type="dxa"/>
            <w:vAlign w:val="center"/>
          </w:tcPr>
          <w:p w:rsidR="00160AA0" w:rsidRDefault="00160AA0" w:rsidP="00E562B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Sifferflagga </w:t>
            </w:r>
            <w:r w:rsidR="00E562B8">
              <w:rPr>
                <w:sz w:val="24"/>
              </w:rPr>
              <w:t>2</w:t>
            </w:r>
          </w:p>
        </w:tc>
        <w:tc>
          <w:tcPr>
            <w:tcW w:w="1102" w:type="dxa"/>
            <w:vAlign w:val="center"/>
          </w:tcPr>
          <w:p w:rsidR="00160AA0" w:rsidRPr="00986AB6" w:rsidRDefault="00160AA0" w:rsidP="00160AA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86AB6">
              <w:rPr>
                <w:sz w:val="24"/>
                <w:szCs w:val="24"/>
              </w:rPr>
              <w:t>1</w:t>
            </w:r>
          </w:p>
        </w:tc>
        <w:tc>
          <w:tcPr>
            <w:tcW w:w="3025" w:type="dxa"/>
            <w:vAlign w:val="center"/>
          </w:tcPr>
          <w:p w:rsidR="00160AA0" w:rsidRPr="002F2A19" w:rsidRDefault="00160AA0" w:rsidP="00160AA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60AA0" w:rsidTr="00061841">
        <w:trPr>
          <w:trHeight w:val="322"/>
        </w:trPr>
        <w:tc>
          <w:tcPr>
            <w:tcW w:w="1575" w:type="dxa"/>
            <w:vAlign w:val="center"/>
          </w:tcPr>
          <w:p w:rsidR="00160AA0" w:rsidRDefault="00160AA0" w:rsidP="00160AA0">
            <w:pPr>
              <w:pStyle w:val="TableParagraph"/>
              <w:spacing w:before="128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5" w:type="dxa"/>
            <w:vAlign w:val="center"/>
          </w:tcPr>
          <w:p w:rsidR="00160AA0" w:rsidRDefault="00160AA0" w:rsidP="00E562B8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Sifferflagga </w:t>
            </w:r>
            <w:r w:rsidR="00E562B8">
              <w:rPr>
                <w:sz w:val="24"/>
              </w:rPr>
              <w:t>1</w:t>
            </w:r>
          </w:p>
        </w:tc>
        <w:tc>
          <w:tcPr>
            <w:tcW w:w="1102" w:type="dxa"/>
            <w:vAlign w:val="center"/>
          </w:tcPr>
          <w:p w:rsidR="00160AA0" w:rsidRDefault="00160AA0" w:rsidP="00160AA0">
            <w:pPr>
              <w:pStyle w:val="TableParagraph"/>
              <w:spacing w:before="128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5" w:type="dxa"/>
            <w:vAlign w:val="center"/>
          </w:tcPr>
          <w:p w:rsidR="00160AA0" w:rsidRDefault="00160AA0" w:rsidP="002F2A19">
            <w:pPr>
              <w:pStyle w:val="TableParagraph"/>
              <w:spacing w:before="128"/>
              <w:ind w:left="109"/>
              <w:rPr>
                <w:sz w:val="24"/>
              </w:rPr>
            </w:pPr>
            <w:r>
              <w:rPr>
                <w:sz w:val="24"/>
              </w:rPr>
              <w:t>En minut</w:t>
            </w:r>
          </w:p>
        </w:tc>
      </w:tr>
      <w:tr w:rsidR="00160AA0" w:rsidTr="00061841">
        <w:trPr>
          <w:trHeight w:val="319"/>
        </w:trPr>
        <w:tc>
          <w:tcPr>
            <w:tcW w:w="1575" w:type="dxa"/>
            <w:vAlign w:val="center"/>
          </w:tcPr>
          <w:p w:rsidR="00160AA0" w:rsidRDefault="00160AA0" w:rsidP="00160AA0">
            <w:pPr>
              <w:pStyle w:val="TableParagraph"/>
              <w:spacing w:line="25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05" w:type="dxa"/>
            <w:vAlign w:val="center"/>
          </w:tcPr>
          <w:p w:rsidR="00160AA0" w:rsidRDefault="00160AA0" w:rsidP="00160AA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Sifferflagga 1 tas ner</w:t>
            </w:r>
          </w:p>
        </w:tc>
        <w:tc>
          <w:tcPr>
            <w:tcW w:w="1102" w:type="dxa"/>
            <w:vAlign w:val="center"/>
          </w:tcPr>
          <w:p w:rsidR="00160AA0" w:rsidRDefault="00160AA0" w:rsidP="00160AA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A0162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1</w:t>
            </w:r>
          </w:p>
        </w:tc>
        <w:tc>
          <w:tcPr>
            <w:tcW w:w="3025" w:type="dxa"/>
            <w:vAlign w:val="center"/>
          </w:tcPr>
          <w:p w:rsidR="00160AA0" w:rsidRDefault="00160AA0" w:rsidP="00160AA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Start</w:t>
            </w:r>
          </w:p>
        </w:tc>
      </w:tr>
    </w:tbl>
    <w:p w:rsidR="00EE3FD2" w:rsidRDefault="00EE3FD2" w:rsidP="00EE3FD2">
      <w:pPr>
        <w:ind w:left="702" w:hanging="702"/>
        <w:rPr>
          <w:sz w:val="24"/>
          <w:szCs w:val="24"/>
          <w:shd w:val="clear" w:color="000000" w:fill="FFFFFF"/>
        </w:rPr>
      </w:pPr>
    </w:p>
    <w:p w:rsidR="00AE54AE" w:rsidRDefault="00AE54AE" w:rsidP="0006184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 </w:t>
      </w:r>
      <w:r>
        <w:rPr>
          <w:b/>
          <w:bCs/>
          <w:sz w:val="28"/>
          <w:szCs w:val="28"/>
        </w:rPr>
        <w:tab/>
        <w:t>Ändringar och tillägg till KSR Appendix S</w:t>
      </w:r>
    </w:p>
    <w:p w:rsidR="00061841" w:rsidRPr="00061841" w:rsidRDefault="00061841" w:rsidP="00061841">
      <w:pPr>
        <w:rPr>
          <w:b/>
          <w:bCs/>
          <w:sz w:val="28"/>
          <w:szCs w:val="28"/>
        </w:rPr>
      </w:pPr>
    </w:p>
    <w:p w:rsidR="00AE54AE" w:rsidRDefault="00AE54AE" w:rsidP="00AE54AE">
      <w:pPr>
        <w:ind w:left="702" w:hanging="702"/>
        <w:rPr>
          <w:sz w:val="24"/>
        </w:rPr>
      </w:pPr>
      <w:r w:rsidRPr="00AE54AE">
        <w:rPr>
          <w:bCs/>
          <w:sz w:val="24"/>
          <w:szCs w:val="24"/>
        </w:rPr>
        <w:t>6.1</w:t>
      </w:r>
      <w:r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ab/>
        <w:t xml:space="preserve"> </w:t>
      </w:r>
      <w:r>
        <w:rPr>
          <w:sz w:val="24"/>
        </w:rPr>
        <w:t xml:space="preserve">Banan är en kryss </w:t>
      </w:r>
      <w:r w:rsidR="00312C89">
        <w:rPr>
          <w:sz w:val="24"/>
        </w:rPr>
        <w:t>–</w:t>
      </w:r>
      <w:r>
        <w:rPr>
          <w:sz w:val="24"/>
        </w:rPr>
        <w:t xml:space="preserve"> länsbana</w:t>
      </w:r>
      <w:r w:rsidR="00312C89">
        <w:rPr>
          <w:sz w:val="24"/>
        </w:rPr>
        <w:t xml:space="preserve"> me</w:t>
      </w:r>
      <w:r w:rsidR="00102781">
        <w:rPr>
          <w:sz w:val="24"/>
        </w:rPr>
        <w:t xml:space="preserve">d </w:t>
      </w:r>
      <w:r>
        <w:rPr>
          <w:sz w:val="24"/>
        </w:rPr>
        <w:t>start - mål cirka 1/3 upp på banan.</w:t>
      </w:r>
    </w:p>
    <w:p w:rsidR="00AE54AE" w:rsidRDefault="00AE54AE" w:rsidP="00CF4B42">
      <w:pPr>
        <w:ind w:left="702"/>
        <w:rPr>
          <w:sz w:val="24"/>
        </w:rPr>
      </w:pPr>
      <w:r>
        <w:rPr>
          <w:sz w:val="24"/>
        </w:rPr>
        <w:t>Banan seglas två varv</w:t>
      </w:r>
      <w:r w:rsidR="00CF4B42">
        <w:rPr>
          <w:sz w:val="24"/>
        </w:rPr>
        <w:t>. Om flagga T visas i samband med klassflaggan seglar den klassen tre varv</w:t>
      </w:r>
    </w:p>
    <w:p w:rsidR="00AE54AE" w:rsidRPr="00AE54AE" w:rsidRDefault="00AE54AE" w:rsidP="00EE3FD2">
      <w:pPr>
        <w:ind w:left="702" w:hanging="702"/>
        <w:rPr>
          <w:sz w:val="24"/>
          <w:szCs w:val="24"/>
          <w:shd w:val="clear" w:color="000000" w:fill="FFFFFF"/>
        </w:rPr>
      </w:pPr>
    </w:p>
    <w:p w:rsidR="00A54601" w:rsidRPr="007178A8" w:rsidRDefault="00312C89" w:rsidP="00AE54AE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720969" y="5081954"/>
            <wp:positionH relativeFrom="column">
              <wp:align>left</wp:align>
            </wp:positionH>
            <wp:positionV relativeFrom="paragraph">
              <wp:align>top</wp:align>
            </wp:positionV>
            <wp:extent cx="2101362" cy="2998204"/>
            <wp:effectExtent l="0" t="0" r="0" b="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rysslänsbana alt läflagg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362" cy="2998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79B7" w:rsidRPr="007178A8">
        <w:rPr>
          <w:sz w:val="24"/>
        </w:rPr>
        <w:br w:type="textWrapping" w:clear="all"/>
      </w:r>
    </w:p>
    <w:p w:rsidR="00AE54AE" w:rsidRPr="00593E2F" w:rsidRDefault="00AE54AE" w:rsidP="00AE54AE">
      <w:pPr>
        <w:rPr>
          <w:sz w:val="24"/>
        </w:rPr>
      </w:pPr>
      <w:r w:rsidRPr="00593E2F">
        <w:rPr>
          <w:sz w:val="24"/>
        </w:rPr>
        <w:t>6</w:t>
      </w:r>
      <w:r w:rsidR="00312C89" w:rsidRPr="00593E2F">
        <w:rPr>
          <w:sz w:val="24"/>
        </w:rPr>
        <w:t>.2</w:t>
      </w:r>
      <w:r w:rsidR="00312C89" w:rsidRPr="00593E2F">
        <w:rPr>
          <w:sz w:val="24"/>
        </w:rPr>
        <w:tab/>
        <w:t>Start – 1-1a – 4 – 1-1a</w:t>
      </w:r>
      <w:r w:rsidRPr="00593E2F">
        <w:rPr>
          <w:sz w:val="24"/>
        </w:rPr>
        <w:t xml:space="preserve"> </w:t>
      </w:r>
      <w:r w:rsidR="00912020">
        <w:rPr>
          <w:sz w:val="24"/>
        </w:rPr>
        <w:t>–</w:t>
      </w:r>
      <w:r w:rsidRPr="00593E2F">
        <w:rPr>
          <w:sz w:val="24"/>
        </w:rPr>
        <w:t xml:space="preserve"> </w:t>
      </w:r>
      <w:r w:rsidR="00312C89" w:rsidRPr="00593E2F">
        <w:rPr>
          <w:sz w:val="24"/>
        </w:rPr>
        <w:t xml:space="preserve">4 – </w:t>
      </w:r>
      <w:r w:rsidRPr="00593E2F">
        <w:rPr>
          <w:sz w:val="24"/>
        </w:rPr>
        <w:t xml:space="preserve">Mål </w:t>
      </w:r>
    </w:p>
    <w:p w:rsidR="00312C89" w:rsidRPr="00593E2F" w:rsidRDefault="00312C89" w:rsidP="00AE54AE">
      <w:pPr>
        <w:rPr>
          <w:sz w:val="24"/>
        </w:rPr>
      </w:pPr>
    </w:p>
    <w:p w:rsidR="00312C89" w:rsidRPr="00921A1D" w:rsidRDefault="00312C89" w:rsidP="00712467">
      <w:pPr>
        <w:rPr>
          <w:sz w:val="24"/>
        </w:rPr>
      </w:pPr>
      <w:r w:rsidRPr="00593E2F">
        <w:rPr>
          <w:sz w:val="24"/>
        </w:rPr>
        <w:t xml:space="preserve">6.2    </w:t>
      </w:r>
      <w:r w:rsidRPr="00593E2F">
        <w:rPr>
          <w:sz w:val="24"/>
        </w:rPr>
        <w:tab/>
        <w:t>Startordning:</w:t>
      </w:r>
      <w:r w:rsidR="00912020">
        <w:rPr>
          <w:sz w:val="24"/>
        </w:rPr>
        <w:t xml:space="preserve"> </w:t>
      </w:r>
      <w:r w:rsidR="007F53BA">
        <w:rPr>
          <w:sz w:val="24"/>
        </w:rPr>
        <w:t>Neptunkryssare</w:t>
      </w:r>
      <w:r w:rsidR="00CF4B42">
        <w:rPr>
          <w:sz w:val="24"/>
        </w:rPr>
        <w:t>:</w:t>
      </w:r>
      <w:r w:rsidR="00132C08" w:rsidRPr="00921A1D">
        <w:rPr>
          <w:sz w:val="24"/>
        </w:rPr>
        <w:t xml:space="preserve"> </w:t>
      </w:r>
      <w:r w:rsidR="00CF4B42">
        <w:rPr>
          <w:sz w:val="24"/>
        </w:rPr>
        <w:t xml:space="preserve">Klassflagga </w:t>
      </w:r>
      <w:r w:rsidR="00F54A25">
        <w:rPr>
          <w:sz w:val="24"/>
        </w:rPr>
        <w:t>D</w:t>
      </w:r>
      <w:r w:rsidR="00A62CEF">
        <w:rPr>
          <w:sz w:val="24"/>
        </w:rPr>
        <w:t xml:space="preserve"> A22 Klassflagga G</w:t>
      </w:r>
    </w:p>
    <w:p w:rsidR="000626F0" w:rsidRPr="00921A1D" w:rsidRDefault="00312C89" w:rsidP="00AE54AE">
      <w:pPr>
        <w:rPr>
          <w:sz w:val="24"/>
        </w:rPr>
      </w:pPr>
      <w:r w:rsidRPr="00921A1D">
        <w:rPr>
          <w:sz w:val="24"/>
        </w:rPr>
        <w:tab/>
      </w:r>
    </w:p>
    <w:p w:rsidR="009C6DC4" w:rsidRPr="00593E2F" w:rsidRDefault="000626F0" w:rsidP="009C6DC4">
      <w:pPr>
        <w:rPr>
          <w:sz w:val="24"/>
        </w:rPr>
      </w:pPr>
      <w:r w:rsidRPr="00593E2F">
        <w:rPr>
          <w:sz w:val="24"/>
        </w:rPr>
        <w:t xml:space="preserve">6.3 </w:t>
      </w:r>
      <w:r w:rsidRPr="00593E2F">
        <w:rPr>
          <w:sz w:val="24"/>
        </w:rPr>
        <w:tab/>
      </w:r>
      <w:r w:rsidR="009C6DC4" w:rsidRPr="00593E2F">
        <w:rPr>
          <w:sz w:val="24"/>
        </w:rPr>
        <w:t xml:space="preserve">En båt som startar senare än 5 minuter efter sin startsignal räknas som inte </w:t>
      </w:r>
    </w:p>
    <w:p w:rsidR="00CF4B42" w:rsidRPr="00593E2F" w:rsidRDefault="009C6DC4" w:rsidP="009C6DC4">
      <w:pPr>
        <w:rPr>
          <w:sz w:val="24"/>
        </w:rPr>
      </w:pPr>
      <w:r w:rsidRPr="00593E2F">
        <w:rPr>
          <w:sz w:val="24"/>
        </w:rPr>
        <w:tab/>
        <w:t>startande. Detta ändrar KSR A4.</w:t>
      </w:r>
    </w:p>
    <w:p w:rsidR="001166AD" w:rsidRPr="00994284" w:rsidRDefault="001166AD" w:rsidP="00994284">
      <w:pPr>
        <w:autoSpaceDE w:val="0"/>
        <w:autoSpaceDN w:val="0"/>
        <w:adjustRightInd w:val="0"/>
        <w:rPr>
          <w:sz w:val="24"/>
          <w:szCs w:val="24"/>
        </w:rPr>
      </w:pPr>
    </w:p>
    <w:p w:rsidR="00187E0F" w:rsidRDefault="00994284" w:rsidP="00061841">
      <w:pPr>
        <w:ind w:left="702" w:hanging="702"/>
        <w:rPr>
          <w:sz w:val="24"/>
        </w:rPr>
      </w:pPr>
      <w:r w:rsidRPr="00593E2F">
        <w:rPr>
          <w:sz w:val="24"/>
        </w:rPr>
        <w:tab/>
      </w:r>
      <w:r>
        <w:rPr>
          <w:sz w:val="24"/>
        </w:rPr>
        <w:t xml:space="preserve">Protesttiden är 30 min. och böjar då de tävlande har fått rimlig tid att segla in från banan. Detta ändrar </w:t>
      </w:r>
      <w:proofErr w:type="spellStart"/>
      <w:r>
        <w:rPr>
          <w:sz w:val="24"/>
        </w:rPr>
        <w:t>Ap</w:t>
      </w:r>
      <w:r w:rsidR="00C05F18">
        <w:rPr>
          <w:sz w:val="24"/>
        </w:rPr>
        <w:t>p</w:t>
      </w:r>
      <w:proofErr w:type="spellEnd"/>
      <w:r w:rsidR="00160B47">
        <w:rPr>
          <w:sz w:val="24"/>
        </w:rPr>
        <w:t xml:space="preserve"> </w:t>
      </w:r>
      <w:r w:rsidR="00C05F18">
        <w:rPr>
          <w:sz w:val="24"/>
        </w:rPr>
        <w:t>SF 13.2</w:t>
      </w:r>
    </w:p>
    <w:p w:rsidR="00A62CEF" w:rsidRDefault="00A62CEF" w:rsidP="00061841">
      <w:pPr>
        <w:ind w:left="702" w:hanging="702"/>
        <w:rPr>
          <w:sz w:val="24"/>
        </w:rPr>
      </w:pPr>
    </w:p>
    <w:p w:rsidR="00A62CEF" w:rsidRDefault="00A62CEF" w:rsidP="00061841">
      <w:pPr>
        <w:ind w:left="702" w:hanging="702"/>
        <w:rPr>
          <w:sz w:val="24"/>
        </w:rPr>
      </w:pPr>
    </w:p>
    <w:p w:rsidR="00A62CEF" w:rsidRPr="00061841" w:rsidRDefault="00A62CEF" w:rsidP="00061841">
      <w:pPr>
        <w:ind w:left="702" w:hanging="702"/>
        <w:rPr>
          <w:sz w:val="24"/>
          <w:lang w:val="en-US"/>
        </w:rPr>
      </w:pPr>
      <w:r>
        <w:rPr>
          <w:sz w:val="24"/>
        </w:rPr>
        <w:t>2024-09-13</w:t>
      </w:r>
      <w:bookmarkStart w:id="0" w:name="_GoBack"/>
      <w:bookmarkEnd w:id="0"/>
    </w:p>
    <w:sectPr w:rsidR="00A62CEF" w:rsidRPr="00061841" w:rsidSect="00061841">
      <w:headerReference w:type="default" r:id="rId9"/>
      <w:headerReference w:type="first" r:id="rId10"/>
      <w:footnotePr>
        <w:pos w:val="sectEnd"/>
      </w:footnotePr>
      <w:endnotePr>
        <w:numStart w:val="0"/>
      </w:endnotePr>
      <w:pgSz w:w="11907" w:h="16840" w:code="9"/>
      <w:pgMar w:top="1134" w:right="1134" w:bottom="709" w:left="1134" w:header="39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010" w:rsidRDefault="00985010">
      <w:r>
        <w:separator/>
      </w:r>
    </w:p>
  </w:endnote>
  <w:endnote w:type="continuationSeparator" w:id="0">
    <w:p w:rsidR="00985010" w:rsidRDefault="00985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010" w:rsidRDefault="00985010">
      <w:r>
        <w:separator/>
      </w:r>
    </w:p>
  </w:footnote>
  <w:footnote w:type="continuationSeparator" w:id="0">
    <w:p w:rsidR="00985010" w:rsidRDefault="00985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020" w:rsidRDefault="00912020">
    <w:pPr>
      <w:pStyle w:val="Sidhuvud"/>
    </w:pPr>
  </w:p>
  <w:p w:rsidR="00912020" w:rsidRDefault="00912020">
    <w:pPr>
      <w:pStyle w:val="Sidhuvud"/>
    </w:pPr>
  </w:p>
  <w:p w:rsidR="00912020" w:rsidRDefault="00912020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DE7" w:rsidRDefault="00994284">
    <w:pPr>
      <w:pStyle w:val="Sidhuvud"/>
    </w:pPr>
    <w:r>
      <w:t xml:space="preserve">    </w:t>
    </w:r>
    <w:r w:rsidR="00816E94">
      <w:t xml:space="preserve">  </w:t>
    </w:r>
    <w:r w:rsidR="00816E94">
      <w:rPr>
        <w:noProof/>
      </w:rPr>
      <w:drawing>
        <wp:inline distT="0" distB="0" distL="0" distR="0" wp14:anchorId="2AE83626" wp14:editId="29720B60">
          <wp:extent cx="2572386" cy="452739"/>
          <wp:effectExtent l="0" t="0" r="0" b="508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5004" cy="5007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816E94">
      <w:t xml:space="preserve">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F320D"/>
    <w:multiLevelType w:val="multilevel"/>
    <w:tmpl w:val="A08ED86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4B1467"/>
    <w:multiLevelType w:val="multilevel"/>
    <w:tmpl w:val="C2C69C4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3924DD0"/>
    <w:multiLevelType w:val="multilevel"/>
    <w:tmpl w:val="C3FC40B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C271E8B"/>
    <w:multiLevelType w:val="multilevel"/>
    <w:tmpl w:val="F99A3512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CDF2FDD"/>
    <w:multiLevelType w:val="multilevel"/>
    <w:tmpl w:val="B646337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E62341E"/>
    <w:multiLevelType w:val="singleLevel"/>
    <w:tmpl w:val="4B36D6C6"/>
    <w:lvl w:ilvl="0">
      <w:start w:val="606"/>
      <w:numFmt w:val="decimal"/>
      <w:lvlText w:val="%1"/>
      <w:lvlJc w:val="left"/>
      <w:pPr>
        <w:tabs>
          <w:tab w:val="num" w:pos="3600"/>
        </w:tabs>
        <w:ind w:left="3600" w:hanging="2880"/>
      </w:pPr>
      <w:rPr>
        <w:rFonts w:hint="default"/>
      </w:rPr>
    </w:lvl>
  </w:abstractNum>
  <w:abstractNum w:abstractNumId="6" w15:restartNumberingAfterBreak="0">
    <w:nsid w:val="2F273A1F"/>
    <w:multiLevelType w:val="multilevel"/>
    <w:tmpl w:val="309E9F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0200966"/>
    <w:multiLevelType w:val="hybridMultilevel"/>
    <w:tmpl w:val="9C5A9566"/>
    <w:lvl w:ilvl="0" w:tplc="FBDE2CC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C0453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5A01C2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B871B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36EBF5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96673B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8C460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692A4D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48C05C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5195ABD"/>
    <w:multiLevelType w:val="multilevel"/>
    <w:tmpl w:val="A850AC5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A8E3A73"/>
    <w:multiLevelType w:val="multilevel"/>
    <w:tmpl w:val="84FC312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B2715F9"/>
    <w:multiLevelType w:val="multilevel"/>
    <w:tmpl w:val="5016E74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4CD3B08"/>
    <w:multiLevelType w:val="singleLevel"/>
    <w:tmpl w:val="9E9C5D94"/>
    <w:lvl w:ilvl="0">
      <w:start w:val="606"/>
      <w:numFmt w:val="decimal"/>
      <w:lvlText w:val="%1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1"/>
  </w:num>
  <w:num w:numId="5">
    <w:abstractNumId w:val="10"/>
  </w:num>
  <w:num w:numId="6">
    <w:abstractNumId w:val="5"/>
  </w:num>
  <w:num w:numId="7">
    <w:abstractNumId w:val="0"/>
  </w:num>
  <w:num w:numId="8">
    <w:abstractNumId w:val="2"/>
  </w:num>
  <w:num w:numId="9">
    <w:abstractNumId w:val="4"/>
  </w:num>
  <w:num w:numId="10">
    <w:abstractNumId w:val="9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autoHyphenation/>
  <w:hyphenationZone w:val="425"/>
  <w:drawingGridHorizontalSpacing w:val="78"/>
  <w:drawingGridVerticalSpacing w:val="106"/>
  <w:displayHorizontalDrawingGridEvery w:val="2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pos w:val="sectEnd"/>
    <w:footnote w:id="-1"/>
    <w:footnote w:id="0"/>
  </w:footnotePr>
  <w:endnotePr>
    <w:pos w:val="sectEnd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E5"/>
    <w:rsid w:val="00026059"/>
    <w:rsid w:val="000261F0"/>
    <w:rsid w:val="0003060B"/>
    <w:rsid w:val="00031A25"/>
    <w:rsid w:val="00046B6C"/>
    <w:rsid w:val="00060002"/>
    <w:rsid w:val="00061841"/>
    <w:rsid w:val="000626F0"/>
    <w:rsid w:val="00076C06"/>
    <w:rsid w:val="000835A4"/>
    <w:rsid w:val="000919E2"/>
    <w:rsid w:val="000A3585"/>
    <w:rsid w:val="000A67EE"/>
    <w:rsid w:val="000B7DE3"/>
    <w:rsid w:val="000D0975"/>
    <w:rsid w:val="000D0997"/>
    <w:rsid w:val="000D7B39"/>
    <w:rsid w:val="000E1E1C"/>
    <w:rsid w:val="000E22B4"/>
    <w:rsid w:val="000E467F"/>
    <w:rsid w:val="000F1A34"/>
    <w:rsid w:val="000F2B16"/>
    <w:rsid w:val="00102781"/>
    <w:rsid w:val="00105603"/>
    <w:rsid w:val="0011563D"/>
    <w:rsid w:val="001166AD"/>
    <w:rsid w:val="00125A2C"/>
    <w:rsid w:val="00132C08"/>
    <w:rsid w:val="00145FA8"/>
    <w:rsid w:val="00147816"/>
    <w:rsid w:val="001479B7"/>
    <w:rsid w:val="00152D34"/>
    <w:rsid w:val="00160AA0"/>
    <w:rsid w:val="00160B47"/>
    <w:rsid w:val="001626EB"/>
    <w:rsid w:val="0016554D"/>
    <w:rsid w:val="00174340"/>
    <w:rsid w:val="0018161E"/>
    <w:rsid w:val="00187E0F"/>
    <w:rsid w:val="001C0521"/>
    <w:rsid w:val="001F081B"/>
    <w:rsid w:val="001F532F"/>
    <w:rsid w:val="00206B25"/>
    <w:rsid w:val="0021200E"/>
    <w:rsid w:val="00225D43"/>
    <w:rsid w:val="00244C9E"/>
    <w:rsid w:val="00250DE7"/>
    <w:rsid w:val="0025350A"/>
    <w:rsid w:val="00256525"/>
    <w:rsid w:val="00260F80"/>
    <w:rsid w:val="00262689"/>
    <w:rsid w:val="00280EF6"/>
    <w:rsid w:val="00287CA9"/>
    <w:rsid w:val="002A208D"/>
    <w:rsid w:val="002B1013"/>
    <w:rsid w:val="002C1360"/>
    <w:rsid w:val="002C6315"/>
    <w:rsid w:val="002E4FFD"/>
    <w:rsid w:val="002E59FC"/>
    <w:rsid w:val="002F2A19"/>
    <w:rsid w:val="00300043"/>
    <w:rsid w:val="0030573D"/>
    <w:rsid w:val="00312C89"/>
    <w:rsid w:val="00330394"/>
    <w:rsid w:val="003406CB"/>
    <w:rsid w:val="00344549"/>
    <w:rsid w:val="003800A9"/>
    <w:rsid w:val="003857A3"/>
    <w:rsid w:val="003A6BB5"/>
    <w:rsid w:val="003B4E13"/>
    <w:rsid w:val="003C6B03"/>
    <w:rsid w:val="003F35BD"/>
    <w:rsid w:val="0040012A"/>
    <w:rsid w:val="00403939"/>
    <w:rsid w:val="0040683A"/>
    <w:rsid w:val="00416E9C"/>
    <w:rsid w:val="00417111"/>
    <w:rsid w:val="004211BD"/>
    <w:rsid w:val="00445F77"/>
    <w:rsid w:val="00452999"/>
    <w:rsid w:val="0049349D"/>
    <w:rsid w:val="004961D5"/>
    <w:rsid w:val="004C1D1C"/>
    <w:rsid w:val="004C3A71"/>
    <w:rsid w:val="004D026C"/>
    <w:rsid w:val="00500A85"/>
    <w:rsid w:val="005029CC"/>
    <w:rsid w:val="005053F8"/>
    <w:rsid w:val="00555D31"/>
    <w:rsid w:val="00570021"/>
    <w:rsid w:val="005874B4"/>
    <w:rsid w:val="00590C29"/>
    <w:rsid w:val="00593E2F"/>
    <w:rsid w:val="005961F4"/>
    <w:rsid w:val="00596495"/>
    <w:rsid w:val="00596D2C"/>
    <w:rsid w:val="005A3E6B"/>
    <w:rsid w:val="005A7A70"/>
    <w:rsid w:val="005D674E"/>
    <w:rsid w:val="005E2606"/>
    <w:rsid w:val="005E403B"/>
    <w:rsid w:val="005E5F71"/>
    <w:rsid w:val="006018BE"/>
    <w:rsid w:val="00616F6C"/>
    <w:rsid w:val="00630E35"/>
    <w:rsid w:val="00636BC4"/>
    <w:rsid w:val="006547F6"/>
    <w:rsid w:val="00665427"/>
    <w:rsid w:val="0067330F"/>
    <w:rsid w:val="00677D47"/>
    <w:rsid w:val="00685D70"/>
    <w:rsid w:val="006B529D"/>
    <w:rsid w:val="006D1115"/>
    <w:rsid w:val="006D3988"/>
    <w:rsid w:val="006D5905"/>
    <w:rsid w:val="006E190B"/>
    <w:rsid w:val="00712467"/>
    <w:rsid w:val="007178A8"/>
    <w:rsid w:val="00740EE1"/>
    <w:rsid w:val="00761552"/>
    <w:rsid w:val="0078012F"/>
    <w:rsid w:val="00794B8F"/>
    <w:rsid w:val="007A47DA"/>
    <w:rsid w:val="007B3FF1"/>
    <w:rsid w:val="007D4C1C"/>
    <w:rsid w:val="007E367A"/>
    <w:rsid w:val="007F223E"/>
    <w:rsid w:val="007F3B7D"/>
    <w:rsid w:val="007F50C1"/>
    <w:rsid w:val="007F53BA"/>
    <w:rsid w:val="007F6D96"/>
    <w:rsid w:val="0080190D"/>
    <w:rsid w:val="00803CBA"/>
    <w:rsid w:val="00813A25"/>
    <w:rsid w:val="00816E94"/>
    <w:rsid w:val="0083126A"/>
    <w:rsid w:val="00831E9A"/>
    <w:rsid w:val="00834591"/>
    <w:rsid w:val="008369F6"/>
    <w:rsid w:val="00842962"/>
    <w:rsid w:val="00844CF5"/>
    <w:rsid w:val="008A32A0"/>
    <w:rsid w:val="008B6990"/>
    <w:rsid w:val="008C3332"/>
    <w:rsid w:val="008C7B40"/>
    <w:rsid w:val="008D41BF"/>
    <w:rsid w:val="008D7238"/>
    <w:rsid w:val="008F7CE8"/>
    <w:rsid w:val="00904B5C"/>
    <w:rsid w:val="0090533D"/>
    <w:rsid w:val="00912020"/>
    <w:rsid w:val="009128B5"/>
    <w:rsid w:val="00921A1D"/>
    <w:rsid w:val="0092681E"/>
    <w:rsid w:val="00956932"/>
    <w:rsid w:val="009738D5"/>
    <w:rsid w:val="009845A4"/>
    <w:rsid w:val="00985010"/>
    <w:rsid w:val="00994284"/>
    <w:rsid w:val="009950B7"/>
    <w:rsid w:val="009C6DC4"/>
    <w:rsid w:val="009D4141"/>
    <w:rsid w:val="009F5520"/>
    <w:rsid w:val="00A0162D"/>
    <w:rsid w:val="00A130E5"/>
    <w:rsid w:val="00A21C1B"/>
    <w:rsid w:val="00A26174"/>
    <w:rsid w:val="00A27F44"/>
    <w:rsid w:val="00A35ECB"/>
    <w:rsid w:val="00A40F31"/>
    <w:rsid w:val="00A54601"/>
    <w:rsid w:val="00A62CEF"/>
    <w:rsid w:val="00A64BDF"/>
    <w:rsid w:val="00A75E28"/>
    <w:rsid w:val="00A8556F"/>
    <w:rsid w:val="00A94931"/>
    <w:rsid w:val="00AA7C54"/>
    <w:rsid w:val="00AB1596"/>
    <w:rsid w:val="00AD191A"/>
    <w:rsid w:val="00AD354C"/>
    <w:rsid w:val="00AE54AE"/>
    <w:rsid w:val="00B00D23"/>
    <w:rsid w:val="00B024C6"/>
    <w:rsid w:val="00B13D98"/>
    <w:rsid w:val="00B31AE7"/>
    <w:rsid w:val="00B439A6"/>
    <w:rsid w:val="00B455A2"/>
    <w:rsid w:val="00B55FE8"/>
    <w:rsid w:val="00B65421"/>
    <w:rsid w:val="00B75F7C"/>
    <w:rsid w:val="00B82F24"/>
    <w:rsid w:val="00B83B18"/>
    <w:rsid w:val="00B903FB"/>
    <w:rsid w:val="00BB18B9"/>
    <w:rsid w:val="00BC350C"/>
    <w:rsid w:val="00BD0183"/>
    <w:rsid w:val="00BD06F2"/>
    <w:rsid w:val="00BE5951"/>
    <w:rsid w:val="00BE7243"/>
    <w:rsid w:val="00C05F18"/>
    <w:rsid w:val="00C2352E"/>
    <w:rsid w:val="00C27398"/>
    <w:rsid w:val="00C34C4C"/>
    <w:rsid w:val="00C35225"/>
    <w:rsid w:val="00C442FB"/>
    <w:rsid w:val="00C619E6"/>
    <w:rsid w:val="00C66618"/>
    <w:rsid w:val="00C77080"/>
    <w:rsid w:val="00CD47B0"/>
    <w:rsid w:val="00CF3319"/>
    <w:rsid w:val="00CF336F"/>
    <w:rsid w:val="00CF4B42"/>
    <w:rsid w:val="00D00FA5"/>
    <w:rsid w:val="00D0276B"/>
    <w:rsid w:val="00D6696C"/>
    <w:rsid w:val="00D67F8E"/>
    <w:rsid w:val="00D85F5F"/>
    <w:rsid w:val="00D879C1"/>
    <w:rsid w:val="00DA6538"/>
    <w:rsid w:val="00DD12C6"/>
    <w:rsid w:val="00DD6A8D"/>
    <w:rsid w:val="00DF3040"/>
    <w:rsid w:val="00DF654C"/>
    <w:rsid w:val="00DF6D0C"/>
    <w:rsid w:val="00E325A8"/>
    <w:rsid w:val="00E32AF2"/>
    <w:rsid w:val="00E522C5"/>
    <w:rsid w:val="00E562B8"/>
    <w:rsid w:val="00E579B4"/>
    <w:rsid w:val="00E844B7"/>
    <w:rsid w:val="00EA2FF5"/>
    <w:rsid w:val="00EB5120"/>
    <w:rsid w:val="00EB7824"/>
    <w:rsid w:val="00EC25C8"/>
    <w:rsid w:val="00ED5533"/>
    <w:rsid w:val="00EE0AC3"/>
    <w:rsid w:val="00EE106D"/>
    <w:rsid w:val="00EE3FD2"/>
    <w:rsid w:val="00EE65BD"/>
    <w:rsid w:val="00EF2933"/>
    <w:rsid w:val="00EF3D1B"/>
    <w:rsid w:val="00F16643"/>
    <w:rsid w:val="00F30E61"/>
    <w:rsid w:val="00F549AC"/>
    <w:rsid w:val="00F54A25"/>
    <w:rsid w:val="00F81108"/>
    <w:rsid w:val="00F91BE6"/>
    <w:rsid w:val="00FA3ABF"/>
    <w:rsid w:val="00FD3CF3"/>
    <w:rsid w:val="00FD3DBF"/>
    <w:rsid w:val="00FE68DF"/>
    <w:rsid w:val="00FF166B"/>
    <w:rsid w:val="00FF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C55CFF-956F-45DD-AE8A-A1723C8A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4AE"/>
  </w:style>
  <w:style w:type="paragraph" w:styleId="Rubrik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sz w:val="32"/>
      <w:u w:val="single"/>
    </w:rPr>
  </w:style>
  <w:style w:type="paragraph" w:styleId="Rubrik3">
    <w:name w:val="heading 3"/>
    <w:basedOn w:val="Normal"/>
    <w:next w:val="Normal"/>
    <w:qFormat/>
    <w:pPr>
      <w:keepNext/>
      <w:jc w:val="center"/>
      <w:outlineLvl w:val="2"/>
    </w:pPr>
    <w:rPr>
      <w:noProof/>
      <w:sz w:val="24"/>
    </w:rPr>
  </w:style>
  <w:style w:type="paragraph" w:styleId="Rubrik4">
    <w:name w:val="heading 4"/>
    <w:basedOn w:val="Normal"/>
    <w:next w:val="Normal"/>
    <w:qFormat/>
    <w:pPr>
      <w:keepNext/>
      <w:ind w:left="720"/>
      <w:outlineLvl w:val="3"/>
    </w:pPr>
    <w:rPr>
      <w:sz w:val="24"/>
    </w:rPr>
  </w:style>
  <w:style w:type="paragraph" w:styleId="Rubrik5">
    <w:name w:val="heading 5"/>
    <w:basedOn w:val="Normal"/>
    <w:next w:val="Normal"/>
    <w:qFormat/>
    <w:pPr>
      <w:keepNext/>
      <w:tabs>
        <w:tab w:val="left" w:pos="709"/>
        <w:tab w:val="left" w:pos="907"/>
        <w:tab w:val="left" w:pos="1106"/>
      </w:tabs>
      <w:ind w:left="709"/>
      <w:jc w:val="center"/>
      <w:outlineLvl w:val="4"/>
    </w:pPr>
    <w:rPr>
      <w:b/>
      <w:sz w:val="28"/>
    </w:rPr>
  </w:style>
  <w:style w:type="paragraph" w:styleId="Rubrik6">
    <w:name w:val="heading 6"/>
    <w:basedOn w:val="Normal"/>
    <w:next w:val="Normal"/>
    <w:qFormat/>
    <w:pPr>
      <w:keepNext/>
      <w:jc w:val="center"/>
      <w:outlineLvl w:val="5"/>
    </w:pPr>
    <w:rPr>
      <w:b/>
      <w:sz w:val="28"/>
    </w:rPr>
  </w:style>
  <w:style w:type="paragraph" w:styleId="Rubrik7">
    <w:name w:val="heading 7"/>
    <w:basedOn w:val="Normal"/>
    <w:next w:val="Normal"/>
    <w:qFormat/>
    <w:pPr>
      <w:keepNext/>
      <w:outlineLvl w:val="6"/>
    </w:pPr>
    <w:rPr>
      <w:b/>
      <w:sz w:val="24"/>
    </w:rPr>
  </w:style>
  <w:style w:type="paragraph" w:styleId="Rubrik8">
    <w:name w:val="heading 8"/>
    <w:basedOn w:val="Normal"/>
    <w:next w:val="Normal"/>
    <w:qFormat/>
    <w:pPr>
      <w:keepNext/>
      <w:ind w:left="709"/>
      <w:outlineLvl w:val="7"/>
    </w:pPr>
    <w:rPr>
      <w:sz w:val="24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semiHidden/>
    <w:pPr>
      <w:ind w:left="709" w:hanging="709"/>
    </w:pPr>
    <w:rPr>
      <w:sz w:val="24"/>
    </w:rPr>
  </w:style>
  <w:style w:type="paragraph" w:styleId="Brdtextmedindrag2">
    <w:name w:val="Body Text Indent 2"/>
    <w:basedOn w:val="Normal"/>
    <w:semiHidden/>
    <w:pPr>
      <w:ind w:left="709" w:firstLine="11"/>
    </w:pPr>
    <w:rPr>
      <w:sz w:val="24"/>
    </w:rPr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semiHidden/>
  </w:style>
  <w:style w:type="paragraph" w:styleId="Brdtext">
    <w:name w:val="Body Text"/>
    <w:basedOn w:val="Normal"/>
    <w:semiHidden/>
    <w:rPr>
      <w:i/>
      <w:iCs/>
      <w:sz w:val="24"/>
    </w:rPr>
  </w:style>
  <w:style w:type="character" w:styleId="Kommentarsreferens">
    <w:name w:val="annotation reference"/>
    <w:semiHidden/>
    <w:rPr>
      <w:sz w:val="16"/>
    </w:rPr>
  </w:style>
  <w:style w:type="paragraph" w:styleId="Kommentarer">
    <w:name w:val="annotation text"/>
    <w:basedOn w:val="Normal"/>
    <w:semiHidden/>
  </w:style>
  <w:style w:type="paragraph" w:styleId="Brdtextmedindrag3">
    <w:name w:val="Body Text Indent 3"/>
    <w:basedOn w:val="Normal"/>
    <w:semiHidden/>
    <w:pPr>
      <w:ind w:left="709"/>
    </w:pPr>
    <w:rPr>
      <w:sz w:val="24"/>
    </w:rPr>
  </w:style>
  <w:style w:type="paragraph" w:styleId="Brdtext2">
    <w:name w:val="Body Text 2"/>
    <w:basedOn w:val="Normal"/>
    <w:semiHidden/>
    <w:rPr>
      <w:b/>
      <w:bCs/>
      <w:i/>
      <w:iCs/>
      <w:sz w:val="24"/>
    </w:rPr>
  </w:style>
  <w:style w:type="paragraph" w:styleId="Liststycke">
    <w:name w:val="List Paragraph"/>
    <w:basedOn w:val="Normal"/>
    <w:uiPriority w:val="34"/>
    <w:qFormat/>
    <w:rsid w:val="000A3585"/>
    <w:pPr>
      <w:ind w:left="7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D099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0D099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5F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60AA0"/>
    <w:pPr>
      <w:widowControl w:val="0"/>
      <w:autoSpaceDE w:val="0"/>
      <w:autoSpaceDN w:val="0"/>
      <w:ind w:left="108"/>
    </w:pPr>
    <w:rPr>
      <w:sz w:val="22"/>
      <w:szCs w:val="22"/>
      <w:lang w:bidi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C13A9-D308-4379-B9E5-BCE536D4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377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Seglingsföreskrifter för lagkappsegling</vt:lpstr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Seglingsföreskrifter för lagkappsegling</dc:title>
  <dc:subject/>
  <dc:creator>Kurt Sjöberg</dc:creator>
  <cp:keywords/>
  <cp:lastModifiedBy>Monica</cp:lastModifiedBy>
  <cp:revision>4</cp:revision>
  <cp:lastPrinted>2022-08-11T17:21:00Z</cp:lastPrinted>
  <dcterms:created xsi:type="dcterms:W3CDTF">2024-09-09T08:55:00Z</dcterms:created>
  <dcterms:modified xsi:type="dcterms:W3CDTF">2024-09-13T08:21:00Z</dcterms:modified>
</cp:coreProperties>
</file>